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AA" w:rsidRDefault="002E0FCB">
      <w:pPr>
        <w:widowControl w:val="0"/>
        <w:pBdr>
          <w:top w:val="nil"/>
          <w:left w:val="nil"/>
          <w:bottom w:val="nil"/>
          <w:right w:val="nil"/>
          <w:between w:val="nil"/>
        </w:pBdr>
        <w:ind w:right="180"/>
        <w:jc w:val="center"/>
        <w:rPr>
          <w:rFonts w:ascii="Arial" w:eastAsia="Arial" w:hAnsi="Arial" w:cs="Arial"/>
          <w:b/>
        </w:rPr>
      </w:pPr>
      <w:bookmarkStart w:id="0" w:name="_GoBack"/>
      <w:bookmarkEnd w:id="0"/>
      <w:r>
        <w:rPr>
          <w:rFonts w:ascii="Arial" w:eastAsia="Arial" w:hAnsi="Arial" w:cs="Arial"/>
          <w:b/>
        </w:rPr>
        <w:t xml:space="preserve">IN THE SIXTH JUDICIAL DISTRICT COURT </w:t>
      </w:r>
    </w:p>
    <w:p w:rsidR="00AE7BAA" w:rsidRDefault="002E0FCB">
      <w:pPr>
        <w:widowControl w:val="0"/>
        <w:pBdr>
          <w:top w:val="nil"/>
          <w:left w:val="nil"/>
          <w:bottom w:val="nil"/>
          <w:right w:val="nil"/>
          <w:between w:val="nil"/>
        </w:pBdr>
        <w:ind w:right="180"/>
        <w:jc w:val="center"/>
        <w:rPr>
          <w:rFonts w:ascii="Arial" w:eastAsia="Arial" w:hAnsi="Arial" w:cs="Arial"/>
          <w:b/>
        </w:rPr>
      </w:pPr>
      <w:r>
        <w:rPr>
          <w:rFonts w:ascii="Arial" w:eastAsia="Arial" w:hAnsi="Arial" w:cs="Arial"/>
          <w:b/>
        </w:rPr>
        <w:t xml:space="preserve">IN AND FOR </w:t>
      </w:r>
      <w:r>
        <w:rPr>
          <w:rFonts w:ascii="Arial" w:eastAsia="Arial" w:hAnsi="Arial" w:cs="Arial"/>
          <w:b/>
        </w:rPr>
        <w:t>_______________</w:t>
      </w:r>
      <w:r>
        <w:rPr>
          <w:rFonts w:ascii="Arial" w:eastAsia="Arial" w:hAnsi="Arial" w:cs="Arial"/>
          <w:b/>
        </w:rPr>
        <w:t>COUNTY, STATE OF UTAH</w:t>
      </w:r>
    </w:p>
    <w:p w:rsidR="00AE7BAA" w:rsidRDefault="00AE7BAA">
      <w:pPr>
        <w:widowControl w:val="0"/>
        <w:pBdr>
          <w:top w:val="nil"/>
          <w:left w:val="nil"/>
          <w:bottom w:val="nil"/>
          <w:right w:val="nil"/>
          <w:between w:val="nil"/>
        </w:pBdr>
        <w:ind w:right="180"/>
        <w:jc w:val="center"/>
        <w:rPr>
          <w:rFonts w:ascii="Arial" w:eastAsia="Arial" w:hAnsi="Arial" w:cs="Arial"/>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E7BAA">
        <w:tc>
          <w:tcPr>
            <w:tcW w:w="4680" w:type="dxa"/>
            <w:shd w:val="clear" w:color="auto" w:fill="FFFFFF"/>
            <w:tcMar>
              <w:top w:w="0" w:type="dxa"/>
              <w:left w:w="120" w:type="dxa"/>
              <w:bottom w:w="0" w:type="dxa"/>
              <w:right w:w="120" w:type="dxa"/>
            </w:tcMar>
          </w:tcPr>
          <w:p w:rsidR="00AE7BAA" w:rsidRDefault="00AE7BAA">
            <w:pPr>
              <w:widowControl w:val="0"/>
              <w:pBdr>
                <w:top w:val="nil"/>
                <w:left w:val="nil"/>
                <w:bottom w:val="nil"/>
                <w:right w:val="nil"/>
                <w:between w:val="nil"/>
              </w:pBdr>
              <w:rPr>
                <w:rFonts w:ascii="Arial" w:eastAsia="Arial" w:hAnsi="Arial" w:cs="Arial"/>
                <w:b/>
              </w:rPr>
            </w:pPr>
          </w:p>
          <w:p w:rsidR="00AE7BAA" w:rsidRDefault="00AE7BAA">
            <w:pPr>
              <w:widowControl w:val="0"/>
              <w:pBdr>
                <w:top w:val="nil"/>
                <w:left w:val="nil"/>
                <w:bottom w:val="nil"/>
                <w:right w:val="nil"/>
                <w:between w:val="nil"/>
              </w:pBdr>
              <w:rPr>
                <w:rFonts w:ascii="Arial" w:eastAsia="Arial" w:hAnsi="Arial" w:cs="Arial"/>
                <w:b/>
              </w:rPr>
            </w:pPr>
          </w:p>
          <w:p w:rsidR="00AE7BAA" w:rsidRDefault="002E0FCB">
            <w:pPr>
              <w:widowControl w:val="0"/>
              <w:pBdr>
                <w:top w:val="nil"/>
                <w:left w:val="nil"/>
                <w:bottom w:val="nil"/>
                <w:right w:val="nil"/>
                <w:between w:val="nil"/>
              </w:pBdr>
              <w:rPr>
                <w:rFonts w:ascii="Arial" w:eastAsia="Arial" w:hAnsi="Arial" w:cs="Arial"/>
                <w:b/>
                <w:highlight w:val="yellow"/>
              </w:rPr>
            </w:pPr>
            <w:r>
              <w:rPr>
                <w:rFonts w:ascii="Arial" w:eastAsia="Arial" w:hAnsi="Arial" w:cs="Arial"/>
                <w:b/>
                <w:highlight w:val="yellow"/>
              </w:rPr>
              <w:t>(NAME),</w:t>
            </w:r>
          </w:p>
          <w:p w:rsidR="00AE7BAA" w:rsidRDefault="00AE7BAA">
            <w:pPr>
              <w:widowControl w:val="0"/>
              <w:pBdr>
                <w:top w:val="nil"/>
                <w:left w:val="nil"/>
                <w:bottom w:val="nil"/>
                <w:right w:val="nil"/>
                <w:between w:val="nil"/>
              </w:pBdr>
              <w:ind w:right="180" w:firstLine="720"/>
              <w:rPr>
                <w:rFonts w:ascii="Arial" w:eastAsia="Arial" w:hAnsi="Arial" w:cs="Arial"/>
                <w:b/>
                <w:highlight w:val="yellow"/>
              </w:rPr>
            </w:pPr>
          </w:p>
          <w:p w:rsidR="00AE7BAA" w:rsidRDefault="002E0FCB">
            <w:pPr>
              <w:widowControl w:val="0"/>
              <w:pBdr>
                <w:top w:val="nil"/>
                <w:left w:val="nil"/>
                <w:bottom w:val="nil"/>
                <w:right w:val="nil"/>
                <w:between w:val="nil"/>
              </w:pBdr>
              <w:rPr>
                <w:rFonts w:ascii="Arial" w:eastAsia="Arial" w:hAnsi="Arial" w:cs="Arial"/>
                <w:b/>
              </w:rPr>
            </w:pPr>
            <w:r>
              <w:rPr>
                <w:rFonts w:ascii="Arial" w:eastAsia="Arial" w:hAnsi="Arial" w:cs="Arial"/>
                <w:b/>
              </w:rPr>
              <w:t xml:space="preserve">           Petitioner,</w:t>
            </w:r>
          </w:p>
          <w:p w:rsidR="00AE7BAA" w:rsidRDefault="00AE7BAA">
            <w:pPr>
              <w:widowControl w:val="0"/>
              <w:pBdr>
                <w:top w:val="nil"/>
                <w:left w:val="nil"/>
                <w:bottom w:val="nil"/>
                <w:right w:val="nil"/>
                <w:between w:val="nil"/>
              </w:pBdr>
              <w:rPr>
                <w:rFonts w:ascii="Arial" w:eastAsia="Arial" w:hAnsi="Arial" w:cs="Arial"/>
                <w:b/>
              </w:rPr>
            </w:pPr>
          </w:p>
          <w:p w:rsidR="00AE7BAA" w:rsidRDefault="002E0FCB">
            <w:pPr>
              <w:widowControl w:val="0"/>
              <w:pBdr>
                <w:top w:val="nil"/>
                <w:left w:val="nil"/>
                <w:bottom w:val="nil"/>
                <w:right w:val="nil"/>
                <w:between w:val="nil"/>
              </w:pBdr>
              <w:ind w:right="180" w:firstLine="1440"/>
              <w:rPr>
                <w:rFonts w:ascii="Arial" w:eastAsia="Arial" w:hAnsi="Arial" w:cs="Arial"/>
                <w:b/>
              </w:rPr>
            </w:pPr>
            <w:r>
              <w:rPr>
                <w:rFonts w:ascii="Arial" w:eastAsia="Arial" w:hAnsi="Arial" w:cs="Arial"/>
                <w:b/>
              </w:rPr>
              <w:t>vs.</w:t>
            </w:r>
          </w:p>
          <w:p w:rsidR="00AE7BAA" w:rsidRDefault="00AE7BAA">
            <w:pPr>
              <w:widowControl w:val="0"/>
              <w:pBdr>
                <w:top w:val="nil"/>
                <w:left w:val="nil"/>
                <w:bottom w:val="nil"/>
                <w:right w:val="nil"/>
                <w:between w:val="nil"/>
              </w:pBdr>
              <w:rPr>
                <w:rFonts w:ascii="Arial" w:eastAsia="Arial" w:hAnsi="Arial" w:cs="Arial"/>
                <w:b/>
              </w:rPr>
            </w:pPr>
          </w:p>
          <w:p w:rsidR="00AE7BAA" w:rsidRDefault="002E0FCB">
            <w:pPr>
              <w:widowControl w:val="0"/>
              <w:pBdr>
                <w:top w:val="nil"/>
                <w:left w:val="nil"/>
                <w:bottom w:val="nil"/>
                <w:right w:val="nil"/>
                <w:between w:val="nil"/>
              </w:pBdr>
              <w:rPr>
                <w:rFonts w:ascii="Arial" w:eastAsia="Arial" w:hAnsi="Arial" w:cs="Arial"/>
                <w:b/>
                <w:highlight w:val="yellow"/>
              </w:rPr>
            </w:pPr>
            <w:r>
              <w:rPr>
                <w:rFonts w:ascii="Arial" w:eastAsia="Arial" w:hAnsi="Arial" w:cs="Arial"/>
                <w:b/>
              </w:rPr>
              <w:t>(</w:t>
            </w:r>
            <w:r>
              <w:rPr>
                <w:rFonts w:ascii="Arial" w:eastAsia="Arial" w:hAnsi="Arial" w:cs="Arial"/>
                <w:b/>
                <w:highlight w:val="yellow"/>
              </w:rPr>
              <w:t xml:space="preserve">NAME),  </w:t>
            </w:r>
          </w:p>
          <w:p w:rsidR="00AE7BAA" w:rsidRDefault="00AE7BAA">
            <w:pPr>
              <w:widowControl w:val="0"/>
              <w:pBdr>
                <w:top w:val="nil"/>
                <w:left w:val="nil"/>
                <w:bottom w:val="nil"/>
                <w:right w:val="nil"/>
                <w:between w:val="nil"/>
              </w:pBdr>
              <w:rPr>
                <w:rFonts w:ascii="Arial" w:eastAsia="Arial" w:hAnsi="Arial" w:cs="Arial"/>
                <w:b/>
                <w:highlight w:val="yellow"/>
              </w:rPr>
            </w:pPr>
          </w:p>
          <w:p w:rsidR="00AE7BAA" w:rsidRDefault="002E0FCB">
            <w:pPr>
              <w:widowControl w:val="0"/>
              <w:pBdr>
                <w:top w:val="nil"/>
                <w:left w:val="nil"/>
                <w:bottom w:val="nil"/>
                <w:right w:val="nil"/>
                <w:between w:val="nil"/>
              </w:pBdr>
              <w:spacing w:after="58"/>
              <w:ind w:right="180" w:firstLine="720"/>
              <w:rPr>
                <w:rFonts w:ascii="Arial" w:eastAsia="Arial" w:hAnsi="Arial" w:cs="Arial"/>
                <w:b/>
              </w:rPr>
            </w:pPr>
            <w:r>
              <w:rPr>
                <w:rFonts w:ascii="Arial" w:eastAsia="Arial" w:hAnsi="Arial" w:cs="Arial"/>
                <w:b/>
              </w:rPr>
              <w:t>Respondent.</w:t>
            </w:r>
          </w:p>
        </w:tc>
        <w:tc>
          <w:tcPr>
            <w:tcW w:w="4680" w:type="dxa"/>
            <w:shd w:val="clear" w:color="auto" w:fill="FFFFFF"/>
            <w:tcMar>
              <w:top w:w="0" w:type="dxa"/>
              <w:left w:w="120" w:type="dxa"/>
              <w:bottom w:w="0" w:type="dxa"/>
              <w:right w:w="120" w:type="dxa"/>
            </w:tcMar>
          </w:tcPr>
          <w:p w:rsidR="00AE7BAA" w:rsidRDefault="00AE7BAA">
            <w:pPr>
              <w:widowControl w:val="0"/>
              <w:pBdr>
                <w:top w:val="nil"/>
                <w:left w:val="nil"/>
                <w:bottom w:val="nil"/>
                <w:right w:val="nil"/>
                <w:between w:val="nil"/>
              </w:pBdr>
              <w:rPr>
                <w:rFonts w:ascii="Arial" w:eastAsia="Arial" w:hAnsi="Arial" w:cs="Arial"/>
                <w:b/>
              </w:rPr>
            </w:pPr>
          </w:p>
          <w:p w:rsidR="00AE7BAA" w:rsidRDefault="002E0FCB">
            <w:pPr>
              <w:widowControl w:val="0"/>
              <w:pBdr>
                <w:top w:val="nil"/>
                <w:left w:val="nil"/>
                <w:bottom w:val="nil"/>
                <w:right w:val="nil"/>
                <w:between w:val="nil"/>
              </w:pBdr>
              <w:jc w:val="center"/>
              <w:rPr>
                <w:rFonts w:ascii="Arial" w:eastAsia="Arial" w:hAnsi="Arial" w:cs="Arial"/>
                <w:b/>
              </w:rPr>
            </w:pPr>
            <w:r>
              <w:rPr>
                <w:rFonts w:ascii="Arial" w:eastAsia="Arial" w:hAnsi="Arial" w:cs="Arial"/>
                <w:b/>
              </w:rPr>
              <w:t xml:space="preserve"> </w:t>
            </w:r>
          </w:p>
          <w:p w:rsidR="00AE7BAA" w:rsidRDefault="00AE7BAA">
            <w:pPr>
              <w:widowControl w:val="0"/>
              <w:pBdr>
                <w:top w:val="nil"/>
                <w:left w:val="nil"/>
                <w:bottom w:val="nil"/>
                <w:right w:val="nil"/>
                <w:between w:val="nil"/>
              </w:pBdr>
              <w:jc w:val="center"/>
              <w:rPr>
                <w:rFonts w:ascii="Arial" w:eastAsia="Arial" w:hAnsi="Arial" w:cs="Arial"/>
                <w:b/>
              </w:rPr>
            </w:pPr>
          </w:p>
          <w:p w:rsidR="00AE7BAA" w:rsidRDefault="002E0FCB">
            <w:pPr>
              <w:widowControl w:val="0"/>
              <w:pBdr>
                <w:top w:val="nil"/>
                <w:left w:val="nil"/>
                <w:bottom w:val="nil"/>
                <w:right w:val="nil"/>
                <w:between w:val="nil"/>
              </w:pBdr>
              <w:jc w:val="center"/>
              <w:rPr>
                <w:rFonts w:ascii="Arial" w:eastAsia="Arial" w:hAnsi="Arial" w:cs="Arial"/>
                <w:b/>
              </w:rPr>
            </w:pPr>
            <w:r>
              <w:rPr>
                <w:rFonts w:ascii="Arial" w:eastAsia="Arial" w:hAnsi="Arial" w:cs="Arial"/>
                <w:b/>
              </w:rPr>
              <w:t>CASE MANAGEMENT ORDER</w:t>
            </w:r>
          </w:p>
          <w:p w:rsidR="00AE7BAA" w:rsidRDefault="00AE7BAA">
            <w:pPr>
              <w:widowControl w:val="0"/>
              <w:pBdr>
                <w:top w:val="nil"/>
                <w:left w:val="nil"/>
                <w:bottom w:val="nil"/>
                <w:right w:val="nil"/>
                <w:between w:val="nil"/>
              </w:pBdr>
              <w:jc w:val="center"/>
              <w:rPr>
                <w:rFonts w:ascii="Arial" w:eastAsia="Arial" w:hAnsi="Arial" w:cs="Arial"/>
                <w:b/>
              </w:rPr>
            </w:pPr>
          </w:p>
          <w:p w:rsidR="00AE7BAA" w:rsidRDefault="002E0FCB">
            <w:pPr>
              <w:widowControl w:val="0"/>
              <w:pBdr>
                <w:top w:val="nil"/>
                <w:left w:val="nil"/>
                <w:bottom w:val="nil"/>
                <w:right w:val="nil"/>
                <w:between w:val="nil"/>
              </w:pBdr>
              <w:jc w:val="center"/>
              <w:rPr>
                <w:rFonts w:ascii="Arial" w:eastAsia="Arial" w:hAnsi="Arial" w:cs="Arial"/>
                <w:b/>
                <w:highlight w:val="yellow"/>
              </w:rPr>
            </w:pPr>
            <w:r>
              <w:rPr>
                <w:rFonts w:ascii="Arial" w:eastAsia="Arial" w:hAnsi="Arial" w:cs="Arial"/>
                <w:b/>
              </w:rPr>
              <w:t>Case No.   (</w:t>
            </w:r>
            <w:r>
              <w:rPr>
                <w:rFonts w:ascii="Arial" w:eastAsia="Arial" w:hAnsi="Arial" w:cs="Arial"/>
                <w:b/>
                <w:highlight w:val="yellow"/>
              </w:rPr>
              <w:t>CASE NUMBER)</w:t>
            </w:r>
          </w:p>
          <w:p w:rsidR="00AE7BAA" w:rsidRDefault="00AE7BAA">
            <w:pPr>
              <w:widowControl w:val="0"/>
              <w:pBdr>
                <w:top w:val="nil"/>
                <w:left w:val="nil"/>
                <w:bottom w:val="nil"/>
                <w:right w:val="nil"/>
                <w:between w:val="nil"/>
              </w:pBdr>
              <w:jc w:val="center"/>
              <w:rPr>
                <w:rFonts w:ascii="Arial" w:eastAsia="Arial" w:hAnsi="Arial" w:cs="Arial"/>
                <w:b/>
                <w:highlight w:val="yellow"/>
              </w:rPr>
            </w:pPr>
          </w:p>
          <w:p w:rsidR="00AE7BAA" w:rsidRDefault="00AE7BAA">
            <w:pPr>
              <w:widowControl w:val="0"/>
              <w:pBdr>
                <w:top w:val="nil"/>
                <w:left w:val="nil"/>
                <w:bottom w:val="nil"/>
                <w:right w:val="nil"/>
                <w:between w:val="nil"/>
              </w:pBdr>
              <w:jc w:val="center"/>
              <w:rPr>
                <w:rFonts w:ascii="Arial" w:eastAsia="Arial" w:hAnsi="Arial" w:cs="Arial"/>
                <w:b/>
                <w:highlight w:val="yellow"/>
              </w:rPr>
            </w:pPr>
          </w:p>
          <w:p w:rsidR="00AE7BAA" w:rsidRDefault="002E0FCB">
            <w:pPr>
              <w:widowControl w:val="0"/>
              <w:pBdr>
                <w:top w:val="nil"/>
                <w:left w:val="nil"/>
                <w:bottom w:val="nil"/>
                <w:right w:val="nil"/>
                <w:between w:val="nil"/>
              </w:pBdr>
              <w:jc w:val="center"/>
              <w:rPr>
                <w:rFonts w:ascii="Arial" w:eastAsia="Arial" w:hAnsi="Arial" w:cs="Arial"/>
                <w:b/>
                <w:highlight w:val="yellow"/>
              </w:rPr>
            </w:pPr>
            <w:r>
              <w:rPr>
                <w:rFonts w:ascii="Arial" w:eastAsia="Arial" w:hAnsi="Arial" w:cs="Arial"/>
                <w:b/>
              </w:rPr>
              <w:t>Judge</w:t>
            </w:r>
            <w:r>
              <w:rPr>
                <w:rFonts w:ascii="Arial" w:eastAsia="Arial" w:hAnsi="Arial" w:cs="Arial"/>
                <w:b/>
              </w:rPr>
              <w:t xml:space="preserve">: </w:t>
            </w:r>
            <w:r>
              <w:rPr>
                <w:rFonts w:ascii="Arial" w:eastAsia="Arial" w:hAnsi="Arial" w:cs="Arial"/>
                <w:b/>
                <w:highlight w:val="yellow"/>
              </w:rPr>
              <w:t>(NAME)</w:t>
            </w:r>
          </w:p>
          <w:p w:rsidR="00AE7BAA" w:rsidRDefault="00AE7BAA">
            <w:pPr>
              <w:widowControl w:val="0"/>
              <w:pBdr>
                <w:top w:val="nil"/>
                <w:left w:val="nil"/>
                <w:bottom w:val="nil"/>
                <w:right w:val="nil"/>
                <w:between w:val="nil"/>
              </w:pBdr>
              <w:jc w:val="center"/>
              <w:rPr>
                <w:rFonts w:ascii="Arial" w:eastAsia="Arial" w:hAnsi="Arial" w:cs="Arial"/>
                <w:b/>
              </w:rPr>
            </w:pPr>
          </w:p>
          <w:p w:rsidR="00AE7BAA" w:rsidRDefault="00AE7BAA">
            <w:pPr>
              <w:widowControl w:val="0"/>
              <w:pBdr>
                <w:top w:val="nil"/>
                <w:left w:val="nil"/>
                <w:bottom w:val="nil"/>
                <w:right w:val="nil"/>
                <w:between w:val="nil"/>
              </w:pBdr>
              <w:spacing w:after="58"/>
              <w:rPr>
                <w:rFonts w:ascii="Arial" w:eastAsia="Arial" w:hAnsi="Arial" w:cs="Arial"/>
                <w:b/>
              </w:rPr>
            </w:pPr>
          </w:p>
        </w:tc>
      </w:tr>
    </w:tbl>
    <w:p w:rsidR="00AE7BAA" w:rsidRDefault="00AE7BAA">
      <w:pPr>
        <w:widowControl w:val="0"/>
        <w:pBdr>
          <w:top w:val="nil"/>
          <w:left w:val="nil"/>
          <w:bottom w:val="nil"/>
          <w:right w:val="nil"/>
          <w:between w:val="nil"/>
        </w:pBdr>
        <w:spacing w:line="480" w:lineRule="auto"/>
        <w:ind w:right="180"/>
        <w:jc w:val="both"/>
        <w:rPr>
          <w:rFonts w:ascii="Arial" w:eastAsia="Arial" w:hAnsi="Arial" w:cs="Arial"/>
          <w:b/>
        </w:rPr>
      </w:pPr>
    </w:p>
    <w:p w:rsidR="00AE7BAA" w:rsidRDefault="002E0FCB">
      <w:pPr>
        <w:widowControl w:val="0"/>
        <w:pBdr>
          <w:top w:val="nil"/>
          <w:left w:val="nil"/>
          <w:bottom w:val="nil"/>
          <w:right w:val="nil"/>
          <w:between w:val="nil"/>
        </w:pBdr>
        <w:spacing w:line="480" w:lineRule="auto"/>
        <w:ind w:right="180" w:firstLine="720"/>
        <w:rPr>
          <w:rFonts w:ascii="Arial" w:eastAsia="Arial" w:hAnsi="Arial" w:cs="Arial"/>
        </w:rPr>
      </w:pPr>
      <w:r>
        <w:rPr>
          <w:rFonts w:ascii="Arial" w:eastAsia="Arial" w:hAnsi="Arial" w:cs="Arial"/>
        </w:rPr>
        <w:t xml:space="preserve">This matter came before the court on </w:t>
      </w:r>
      <w:r>
        <w:rPr>
          <w:rFonts w:ascii="Arial" w:eastAsia="Arial" w:hAnsi="Arial" w:cs="Arial"/>
          <w:highlight w:val="yellow"/>
        </w:rPr>
        <w:t>(DATE FOR STATUS CONFERENCE)</w:t>
      </w:r>
      <w:r>
        <w:rPr>
          <w:rFonts w:ascii="Arial" w:eastAsia="Arial" w:hAnsi="Arial" w:cs="Arial"/>
        </w:rPr>
        <w:t xml:space="preserve"> for a Case Management Conference. The parties previously submitted a partial proposed case management order.  </w:t>
      </w:r>
      <w:r>
        <w:rPr>
          <w:rFonts w:ascii="Arial" w:eastAsia="Arial" w:hAnsi="Arial" w:cs="Arial"/>
          <w:highlight w:val="yellow"/>
        </w:rPr>
        <w:t>(Petitioner</w:t>
      </w:r>
      <w:r>
        <w:rPr>
          <w:rFonts w:ascii="Arial" w:eastAsia="Arial" w:hAnsi="Arial" w:cs="Arial"/>
        </w:rPr>
        <w:t xml:space="preserve">) appeared </w:t>
      </w:r>
      <w:r>
        <w:rPr>
          <w:rFonts w:ascii="Arial" w:eastAsia="Arial" w:hAnsi="Arial" w:cs="Arial"/>
          <w:highlight w:val="yellow"/>
        </w:rPr>
        <w:t>(Petitioner Attorney</w:t>
      </w:r>
      <w:r>
        <w:rPr>
          <w:rFonts w:ascii="Arial" w:eastAsia="Arial" w:hAnsi="Arial" w:cs="Arial"/>
        </w:rPr>
        <w:t>) for Petitioner and (</w:t>
      </w:r>
      <w:r>
        <w:rPr>
          <w:rFonts w:ascii="Arial" w:eastAsia="Arial" w:hAnsi="Arial" w:cs="Arial"/>
          <w:highlight w:val="yellow"/>
        </w:rPr>
        <w:t xml:space="preserve">Respondent) </w:t>
      </w:r>
      <w:r>
        <w:rPr>
          <w:rFonts w:ascii="Arial" w:eastAsia="Arial" w:hAnsi="Arial" w:cs="Arial"/>
        </w:rPr>
        <w:t>appe</w:t>
      </w:r>
      <w:r>
        <w:rPr>
          <w:rFonts w:ascii="Arial" w:eastAsia="Arial" w:hAnsi="Arial" w:cs="Arial"/>
        </w:rPr>
        <w:t>ared and (</w:t>
      </w:r>
      <w:r>
        <w:rPr>
          <w:rFonts w:ascii="Arial" w:eastAsia="Arial" w:hAnsi="Arial" w:cs="Arial"/>
          <w:highlight w:val="yellow"/>
        </w:rPr>
        <w:t>Respondent Attorney)</w:t>
      </w:r>
      <w:r>
        <w:rPr>
          <w:rFonts w:ascii="Arial" w:eastAsia="Arial" w:hAnsi="Arial" w:cs="Arial"/>
        </w:rPr>
        <w:t xml:space="preserve"> for Respondent, both (</w:t>
      </w:r>
      <w:r>
        <w:rPr>
          <w:rFonts w:ascii="Arial" w:eastAsia="Arial" w:hAnsi="Arial" w:cs="Arial"/>
          <w:highlight w:val="yellow"/>
        </w:rPr>
        <w:t>in person/</w:t>
      </w:r>
      <w:proofErr w:type="spellStart"/>
      <w:r>
        <w:rPr>
          <w:rFonts w:ascii="Arial" w:eastAsia="Arial" w:hAnsi="Arial" w:cs="Arial"/>
          <w:highlight w:val="yellow"/>
        </w:rPr>
        <w:t>webex</w:t>
      </w:r>
      <w:proofErr w:type="spellEnd"/>
      <w:r>
        <w:rPr>
          <w:rFonts w:ascii="Arial" w:eastAsia="Arial" w:hAnsi="Arial" w:cs="Arial"/>
        </w:rPr>
        <w:t xml:space="preserve">). </w:t>
      </w:r>
    </w:p>
    <w:p w:rsidR="00AE7BAA" w:rsidRDefault="002E0FCB">
      <w:pPr>
        <w:widowControl w:val="0"/>
        <w:pBdr>
          <w:top w:val="nil"/>
          <w:left w:val="nil"/>
          <w:bottom w:val="nil"/>
          <w:right w:val="nil"/>
          <w:between w:val="nil"/>
        </w:pBdr>
        <w:spacing w:line="480" w:lineRule="auto"/>
        <w:ind w:right="180" w:firstLine="720"/>
        <w:rPr>
          <w:rFonts w:ascii="Arial" w:eastAsia="Arial" w:hAnsi="Arial" w:cs="Arial"/>
        </w:rPr>
      </w:pPr>
      <w:r>
        <w:rPr>
          <w:rFonts w:ascii="Arial" w:eastAsia="Arial" w:hAnsi="Arial" w:cs="Arial"/>
        </w:rPr>
        <w:t xml:space="preserve">Having reviewed the proposed order and heard counsel on the matter, the court </w:t>
      </w:r>
      <w:proofErr w:type="gramStart"/>
      <w:r>
        <w:rPr>
          <w:rFonts w:ascii="Arial" w:eastAsia="Arial" w:hAnsi="Arial" w:cs="Arial"/>
        </w:rPr>
        <w:t>orders</w:t>
      </w:r>
      <w:proofErr w:type="gramEnd"/>
      <w:r>
        <w:rPr>
          <w:rFonts w:ascii="Arial" w:eastAsia="Arial" w:hAnsi="Arial" w:cs="Arial"/>
        </w:rPr>
        <w:t xml:space="preserve">:   </w:t>
      </w:r>
    </w:p>
    <w:p w:rsidR="00AE7BAA" w:rsidRDefault="00AE7BAA">
      <w:pPr>
        <w:widowControl w:val="0"/>
        <w:pBdr>
          <w:top w:val="nil"/>
          <w:left w:val="nil"/>
          <w:bottom w:val="nil"/>
          <w:right w:val="nil"/>
          <w:between w:val="nil"/>
        </w:pBdr>
        <w:spacing w:line="480" w:lineRule="auto"/>
        <w:ind w:right="180" w:firstLine="720"/>
        <w:rPr>
          <w:rFonts w:ascii="Arial" w:eastAsia="Arial" w:hAnsi="Arial" w:cs="Arial"/>
        </w:rPr>
      </w:pP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rPr>
        <w:t xml:space="preserve">The case is assigned to Track </w:t>
      </w:r>
      <w:r>
        <w:rPr>
          <w:rFonts w:ascii="Arial" w:eastAsia="Arial" w:hAnsi="Arial" w:cs="Arial"/>
          <w:highlight w:val="yellow"/>
        </w:rPr>
        <w:t>(#)</w:t>
      </w:r>
      <w:r>
        <w:rPr>
          <w:rFonts w:ascii="Arial" w:eastAsia="Arial" w:hAnsi="Arial" w:cs="Arial"/>
        </w:rPr>
        <w:t>.</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rPr>
        <w:t xml:space="preserve">Discovery shall be conducted consistent with Rule 26 and 26.1 unless otherwise specified herein and be completed no later than </w:t>
      </w:r>
      <w:r>
        <w:rPr>
          <w:rFonts w:ascii="Arial" w:eastAsia="Arial" w:hAnsi="Arial" w:cs="Arial"/>
          <w:highlight w:val="yellow"/>
        </w:rPr>
        <w:t>(Date).</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rPr>
        <w:t>The parties are required to participate in at least one session of mediation and attempt to resolve the issues in dispute</w:t>
      </w:r>
      <w:r>
        <w:rPr>
          <w:rFonts w:ascii="Arial" w:eastAsia="Arial" w:hAnsi="Arial" w:cs="Arial"/>
        </w:rPr>
        <w:t xml:space="preserve"> before trial will be heard. Mediation shall be held no later than (</w:t>
      </w:r>
      <w:r>
        <w:rPr>
          <w:rFonts w:ascii="Arial" w:eastAsia="Arial" w:hAnsi="Arial" w:cs="Arial"/>
          <w:highlight w:val="yellow"/>
        </w:rPr>
        <w:t xml:space="preserve">date).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The issues to be tried are:</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lastRenderedPageBreak/>
        <w:t>Real property distribution;</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Personal property distribution;</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Vehicles;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Accounts;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Debt division;</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Retirement division;</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Child Custody, Parent-time, Child S</w:t>
      </w:r>
      <w:r>
        <w:rPr>
          <w:rFonts w:ascii="Arial" w:eastAsia="Arial" w:hAnsi="Arial" w:cs="Arial"/>
        </w:rPr>
        <w:t>upport;</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Spousal Support;</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Tax exemption;</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Attorney’s fees.</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 xml:space="preserve">A bench trial is scheduled for </w:t>
      </w:r>
      <w:r>
        <w:rPr>
          <w:rFonts w:ascii="Arial" w:eastAsia="Arial" w:hAnsi="Arial" w:cs="Arial"/>
        </w:rPr>
        <w:t>(</w:t>
      </w:r>
      <w:r>
        <w:rPr>
          <w:rFonts w:ascii="Arial" w:eastAsia="Arial" w:hAnsi="Arial" w:cs="Arial"/>
          <w:highlight w:val="yellow"/>
        </w:rPr>
        <w:t xml:space="preserve">date, within 60 days of </w:t>
      </w:r>
      <w:r>
        <w:rPr>
          <w:rFonts w:ascii="Arial" w:eastAsia="Arial" w:hAnsi="Arial" w:cs="Arial"/>
          <w:highlight w:val="yellow"/>
        </w:rPr>
        <w:t xml:space="preserve">the </w:t>
      </w:r>
      <w:r>
        <w:rPr>
          <w:rFonts w:ascii="Arial" w:eastAsia="Arial" w:hAnsi="Arial" w:cs="Arial"/>
          <w:highlight w:val="yellow"/>
        </w:rPr>
        <w:t>discovery deadline</w:t>
      </w:r>
      <w:r>
        <w:rPr>
          <w:rFonts w:ascii="Arial" w:eastAsia="Arial" w:hAnsi="Arial" w:cs="Arial"/>
        </w:rPr>
        <w:t>)</w:t>
      </w:r>
      <w:r>
        <w:rPr>
          <w:rFonts w:ascii="Arial" w:eastAsia="Arial" w:hAnsi="Arial" w:cs="Arial"/>
          <w:color w:val="000000"/>
        </w:rPr>
        <w:t>, beginning at 9:00 a.m., and continuing on (</w:t>
      </w:r>
      <w:r>
        <w:rPr>
          <w:rFonts w:ascii="Arial" w:eastAsia="Arial" w:hAnsi="Arial" w:cs="Arial"/>
          <w:color w:val="000000"/>
          <w:highlight w:val="yellow"/>
        </w:rPr>
        <w:t>additional dates</w:t>
      </w:r>
      <w:r>
        <w:rPr>
          <w:rFonts w:ascii="Arial" w:eastAsia="Arial" w:hAnsi="Arial" w:cs="Arial"/>
          <w:color w:val="000000"/>
        </w:rPr>
        <w:t xml:space="preserve">), if necessary.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The Court will not receive opening statements at trial, but the parties may file trial briefs. If a party files a brief, it must be filed b</w:t>
      </w:r>
      <w:r>
        <w:rPr>
          <w:rFonts w:ascii="Arial" w:eastAsia="Arial" w:hAnsi="Arial" w:cs="Arial"/>
        </w:rPr>
        <w:t>y</w:t>
      </w:r>
      <w:r>
        <w:rPr>
          <w:rFonts w:ascii="Arial" w:eastAsia="Arial" w:hAnsi="Arial" w:cs="Arial"/>
          <w:color w:val="000000"/>
        </w:rPr>
        <w:t xml:space="preserve"> (</w:t>
      </w:r>
      <w:r>
        <w:rPr>
          <w:rFonts w:ascii="Arial" w:eastAsia="Arial" w:hAnsi="Arial" w:cs="Arial"/>
          <w:color w:val="000000"/>
          <w:highlight w:val="yellow"/>
        </w:rPr>
        <w:t>date 14 days before trial)</w:t>
      </w:r>
      <w:r>
        <w:rPr>
          <w:rFonts w:ascii="Arial" w:eastAsia="Arial" w:hAnsi="Arial" w:cs="Arial"/>
          <w:color w:val="000000"/>
        </w:rPr>
        <w:t xml:space="preserve">.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Trial briefs should include the following:</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color w:val="000000"/>
        </w:rPr>
        <w:t>An opening statement not exceeding two pa</w:t>
      </w:r>
      <w:r>
        <w:rPr>
          <w:rFonts w:ascii="Arial" w:eastAsia="Arial" w:hAnsi="Arial" w:cs="Arial"/>
          <w:color w:val="000000"/>
        </w:rPr>
        <w:t xml:space="preserve">ges that provides a general summary of the issues being tried.   </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color w:val="000000"/>
        </w:rPr>
        <w:t xml:space="preserve">A list of witnesses who will testify at trial, including a two to three-sentence description of each witness’s testimony.  </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color w:val="000000"/>
        </w:rPr>
        <w:t>A description of the legal issues upon which the party anticipates</w:t>
      </w:r>
      <w:r>
        <w:rPr>
          <w:rFonts w:ascii="Arial" w:eastAsia="Arial" w:hAnsi="Arial" w:cs="Arial"/>
          <w:color w:val="000000"/>
        </w:rPr>
        <w:t xml:space="preserve"> the case will turn, including citation to the key authorities (e.g., statutes and cases) controlling each issue.</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color w:val="000000"/>
        </w:rPr>
        <w:t xml:space="preserve">An explanation of how the party asserts alimony, property </w:t>
      </w:r>
      <w:r>
        <w:rPr>
          <w:rFonts w:ascii="Arial" w:eastAsia="Arial" w:hAnsi="Arial" w:cs="Arial"/>
          <w:color w:val="000000"/>
        </w:rPr>
        <w:lastRenderedPageBreak/>
        <w:t>distribution, and debt distribution should be calculated.  The explanation should “s</w:t>
      </w:r>
      <w:r>
        <w:rPr>
          <w:rFonts w:ascii="Arial" w:eastAsia="Arial" w:hAnsi="Arial" w:cs="Arial"/>
          <w:color w:val="000000"/>
        </w:rPr>
        <w:t>how the party’s math” by identifying:</w:t>
      </w:r>
    </w:p>
    <w:p w:rsidR="00AE7BAA" w:rsidRDefault="002E0FCB">
      <w:pPr>
        <w:widowControl w:val="0"/>
        <w:numPr>
          <w:ilvl w:val="0"/>
          <w:numId w:val="1"/>
        </w:numPr>
        <w:pBdr>
          <w:top w:val="nil"/>
          <w:left w:val="nil"/>
          <w:bottom w:val="nil"/>
          <w:right w:val="nil"/>
          <w:between w:val="nil"/>
        </w:pBdr>
        <w:spacing w:line="480" w:lineRule="auto"/>
        <w:ind w:left="2520" w:right="180" w:hanging="180"/>
      </w:pPr>
      <w:r>
        <w:rPr>
          <w:rFonts w:ascii="Arial" w:eastAsia="Arial" w:hAnsi="Arial" w:cs="Arial"/>
          <w:color w:val="000000"/>
        </w:rPr>
        <w:t>The legal authorities providing the formula or criteria by which the party asserts the calculation should be made;</w:t>
      </w:r>
    </w:p>
    <w:p w:rsidR="00AE7BAA" w:rsidRDefault="002E0FCB">
      <w:pPr>
        <w:widowControl w:val="0"/>
        <w:numPr>
          <w:ilvl w:val="0"/>
          <w:numId w:val="1"/>
        </w:numPr>
        <w:pBdr>
          <w:top w:val="nil"/>
          <w:left w:val="nil"/>
          <w:bottom w:val="nil"/>
          <w:right w:val="nil"/>
          <w:between w:val="nil"/>
        </w:pBdr>
        <w:spacing w:line="480" w:lineRule="auto"/>
        <w:ind w:left="2520" w:right="180" w:hanging="180"/>
      </w:pPr>
      <w:r>
        <w:rPr>
          <w:rFonts w:ascii="Arial" w:eastAsia="Arial" w:hAnsi="Arial" w:cs="Arial"/>
          <w:color w:val="000000"/>
        </w:rPr>
        <w:t xml:space="preserve">the figures used to perform each calculation; and </w:t>
      </w:r>
    </w:p>
    <w:p w:rsidR="00AE7BAA" w:rsidRDefault="002E0FCB">
      <w:pPr>
        <w:widowControl w:val="0"/>
        <w:numPr>
          <w:ilvl w:val="0"/>
          <w:numId w:val="1"/>
        </w:numPr>
        <w:pBdr>
          <w:top w:val="nil"/>
          <w:left w:val="nil"/>
          <w:bottom w:val="nil"/>
          <w:right w:val="nil"/>
          <w:between w:val="nil"/>
        </w:pBdr>
        <w:spacing w:line="480" w:lineRule="auto"/>
        <w:ind w:left="2520" w:right="180" w:hanging="180"/>
      </w:pPr>
      <w:proofErr w:type="gramStart"/>
      <w:r>
        <w:rPr>
          <w:rFonts w:ascii="Arial" w:eastAsia="Arial" w:hAnsi="Arial" w:cs="Arial"/>
          <w:color w:val="000000"/>
        </w:rPr>
        <w:t>the</w:t>
      </w:r>
      <w:proofErr w:type="gramEnd"/>
      <w:r>
        <w:rPr>
          <w:rFonts w:ascii="Arial" w:eastAsia="Arial" w:hAnsi="Arial" w:cs="Arial"/>
          <w:color w:val="000000"/>
        </w:rPr>
        <w:t xml:space="preserve"> evidentiary source of the figures.</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 xml:space="preserve">Updated Financial Statements </w:t>
      </w:r>
      <w:r>
        <w:rPr>
          <w:rFonts w:ascii="Arial" w:eastAsia="Arial" w:hAnsi="Arial" w:cs="Arial"/>
        </w:rPr>
        <w:t>must</w:t>
      </w:r>
      <w:r>
        <w:rPr>
          <w:rFonts w:ascii="Arial" w:eastAsia="Arial" w:hAnsi="Arial" w:cs="Arial"/>
          <w:color w:val="000000"/>
        </w:rPr>
        <w:t xml:space="preserve"> be filed </w:t>
      </w:r>
      <w:r>
        <w:rPr>
          <w:rFonts w:ascii="Arial" w:eastAsia="Arial" w:hAnsi="Arial" w:cs="Arial"/>
        </w:rPr>
        <w:t>by (</w:t>
      </w:r>
      <w:r>
        <w:rPr>
          <w:rFonts w:ascii="Arial" w:eastAsia="Arial" w:hAnsi="Arial" w:cs="Arial"/>
          <w:highlight w:val="yellow"/>
        </w:rPr>
        <w:t>14 days before trial</w:t>
      </w:r>
      <w:r>
        <w:rPr>
          <w:rFonts w:ascii="Arial" w:eastAsia="Arial" w:hAnsi="Arial" w:cs="Arial"/>
        </w:rPr>
        <w:t>).</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 xml:space="preserve">All motions in </w:t>
      </w:r>
      <w:proofErr w:type="spellStart"/>
      <w:r>
        <w:rPr>
          <w:rFonts w:ascii="Arial" w:eastAsia="Arial" w:hAnsi="Arial" w:cs="Arial"/>
          <w:color w:val="000000"/>
        </w:rPr>
        <w:t>limine</w:t>
      </w:r>
      <w:proofErr w:type="spellEnd"/>
      <w:r>
        <w:rPr>
          <w:rFonts w:ascii="Arial" w:eastAsia="Arial" w:hAnsi="Arial" w:cs="Arial"/>
          <w:color w:val="000000"/>
        </w:rPr>
        <w:t xml:space="preserve">, Rule 702 motions, and objections to witnesses or exhibits must be filed </w:t>
      </w:r>
      <w:r>
        <w:rPr>
          <w:rFonts w:ascii="Arial" w:eastAsia="Arial" w:hAnsi="Arial" w:cs="Arial"/>
        </w:rPr>
        <w:t>by (</w:t>
      </w:r>
      <w:r>
        <w:rPr>
          <w:rFonts w:ascii="Arial" w:eastAsia="Arial" w:hAnsi="Arial" w:cs="Arial"/>
          <w:highlight w:val="yellow"/>
        </w:rPr>
        <w:t>14 days before trial</w:t>
      </w:r>
      <w:r>
        <w:rPr>
          <w:rFonts w:ascii="Arial" w:eastAsia="Arial" w:hAnsi="Arial" w:cs="Arial"/>
        </w:rPr>
        <w:t>)</w:t>
      </w:r>
      <w:r>
        <w:rPr>
          <w:rFonts w:ascii="Arial" w:eastAsia="Arial" w:hAnsi="Arial" w:cs="Arial"/>
          <w:color w:val="000000"/>
        </w:rPr>
        <w:t>.</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The disclosures required by Rule 26(a</w:t>
      </w:r>
      <w:proofErr w:type="gramStart"/>
      <w:r>
        <w:rPr>
          <w:rFonts w:ascii="Arial" w:eastAsia="Arial" w:hAnsi="Arial" w:cs="Arial"/>
          <w:color w:val="000000"/>
        </w:rPr>
        <w:t>)(</w:t>
      </w:r>
      <w:proofErr w:type="gramEnd"/>
      <w:r>
        <w:rPr>
          <w:rFonts w:ascii="Arial" w:eastAsia="Arial" w:hAnsi="Arial" w:cs="Arial"/>
          <w:color w:val="000000"/>
        </w:rPr>
        <w:t>5) of the Utah Rules of Civil Procedure shall be served on the other part</w:t>
      </w:r>
      <w:r>
        <w:rPr>
          <w:rFonts w:ascii="Arial" w:eastAsia="Arial" w:hAnsi="Arial" w:cs="Arial"/>
        </w:rPr>
        <w:t>y</w:t>
      </w:r>
      <w:r>
        <w:rPr>
          <w:rFonts w:ascii="Arial" w:eastAsia="Arial" w:hAnsi="Arial" w:cs="Arial"/>
          <w:color w:val="000000"/>
        </w:rPr>
        <w:t xml:space="preserve"> </w:t>
      </w:r>
      <w:r>
        <w:rPr>
          <w:rFonts w:ascii="Arial" w:eastAsia="Arial" w:hAnsi="Arial" w:cs="Arial"/>
          <w:b/>
          <w:color w:val="000000"/>
        </w:rPr>
        <w:t xml:space="preserve">at least thirty-five days </w:t>
      </w:r>
      <w:r>
        <w:rPr>
          <w:rFonts w:ascii="Arial" w:eastAsia="Arial" w:hAnsi="Arial" w:cs="Arial"/>
        </w:rPr>
        <w:t>(</w:t>
      </w:r>
      <w:r>
        <w:rPr>
          <w:rFonts w:ascii="Arial" w:eastAsia="Arial" w:hAnsi="Arial" w:cs="Arial"/>
          <w:highlight w:val="yellow"/>
        </w:rPr>
        <w:t>date</w:t>
      </w:r>
      <w:r>
        <w:rPr>
          <w:rFonts w:ascii="Arial" w:eastAsia="Arial" w:hAnsi="Arial" w:cs="Arial"/>
        </w:rPr>
        <w:t>)</w:t>
      </w:r>
      <w:r>
        <w:rPr>
          <w:rFonts w:ascii="Arial" w:eastAsia="Arial" w:hAnsi="Arial" w:cs="Arial"/>
          <w:color w:val="000000"/>
        </w:rPr>
        <w:t xml:space="preserve"> before </w:t>
      </w:r>
      <w:r>
        <w:rPr>
          <w:rFonts w:ascii="Arial" w:eastAsia="Arial" w:hAnsi="Arial" w:cs="Arial"/>
        </w:rPr>
        <w:t>trial</w:t>
      </w:r>
      <w:r>
        <w:rPr>
          <w:rFonts w:ascii="Arial" w:eastAsia="Arial" w:hAnsi="Arial" w:cs="Arial"/>
          <w:color w:val="000000"/>
        </w:rPr>
        <w:t xml:space="preserve">. </w:t>
      </w:r>
      <w:r>
        <w:rPr>
          <w:rFonts w:ascii="Arial" w:eastAsia="Arial" w:hAnsi="Arial" w:cs="Arial"/>
        </w:rPr>
        <w:t>By (</w:t>
      </w:r>
      <w:r>
        <w:rPr>
          <w:rFonts w:ascii="Arial" w:eastAsia="Arial" w:hAnsi="Arial" w:cs="Arial"/>
          <w:highlight w:val="yellow"/>
        </w:rPr>
        <w:t>14 days before trial</w:t>
      </w:r>
      <w:r>
        <w:rPr>
          <w:rFonts w:ascii="Arial" w:eastAsia="Arial" w:hAnsi="Arial" w:cs="Arial"/>
        </w:rPr>
        <w:t>)</w:t>
      </w:r>
      <w:r>
        <w:rPr>
          <w:rFonts w:ascii="Arial" w:eastAsia="Arial" w:hAnsi="Arial" w:cs="Arial"/>
          <w:color w:val="000000"/>
        </w:rPr>
        <w:t xml:space="preserve">, a party </w:t>
      </w:r>
      <w:r>
        <w:rPr>
          <w:rFonts w:ascii="Arial" w:eastAsia="Arial" w:hAnsi="Arial" w:cs="Arial"/>
        </w:rPr>
        <w:t>must</w:t>
      </w:r>
      <w:r>
        <w:rPr>
          <w:rFonts w:ascii="Arial" w:eastAsia="Arial" w:hAnsi="Arial" w:cs="Arial"/>
          <w:color w:val="000000"/>
        </w:rPr>
        <w:t xml:space="preserve"> serve counter designations of deposition testimony, and</w:t>
      </w:r>
      <w:r>
        <w:rPr>
          <w:rFonts w:ascii="Arial" w:eastAsia="Arial" w:hAnsi="Arial" w:cs="Arial"/>
          <w:color w:val="000000"/>
        </w:rPr>
        <w:t xml:space="preserve"> objections and grounds for the objections to the use of a deposition and to the admissibility of exhibits.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 xml:space="preserve">The Court expects the parties to stipulate to the admissibility of exhibits to the fullest extent possible and to cooperate in having all </w:t>
      </w:r>
      <w:r>
        <w:rPr>
          <w:rFonts w:ascii="Arial" w:eastAsia="Arial" w:hAnsi="Arial" w:cs="Arial"/>
        </w:rPr>
        <w:t>stipulat</w:t>
      </w:r>
      <w:r>
        <w:rPr>
          <w:rFonts w:ascii="Arial" w:eastAsia="Arial" w:hAnsi="Arial" w:cs="Arial"/>
        </w:rPr>
        <w:t>ed exhibits pre-marked and numbered by the Court Clerk before trial begins</w:t>
      </w:r>
      <w:r>
        <w:rPr>
          <w:rFonts w:ascii="Arial" w:eastAsia="Arial" w:hAnsi="Arial" w:cs="Arial"/>
          <w:color w:val="000000"/>
        </w:rPr>
        <w:t>.  An exhibit list setting forth all stipulated exhibits must be provided to Court on the first morning of trial.  Also on the first morning of trial, each party must provide a detai</w:t>
      </w:r>
      <w:r>
        <w:rPr>
          <w:rFonts w:ascii="Arial" w:eastAsia="Arial" w:hAnsi="Arial" w:cs="Arial"/>
          <w:color w:val="000000"/>
        </w:rPr>
        <w:t>led list setting forth its proposed exhibits that are not stipulated.  Each party is expected to have organized exhibit binders containing all exhibits, with separate binders containing original exhibits and copies for use by the Court and opposing counsel</w:t>
      </w:r>
      <w:r>
        <w:rPr>
          <w:rFonts w:ascii="Arial" w:eastAsia="Arial" w:hAnsi="Arial" w:cs="Arial"/>
          <w:color w:val="000000"/>
        </w:rPr>
        <w:t xml:space="preserve">.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rPr>
        <w:t xml:space="preserve">All direct examination of the parties will be presented by affidavit or </w:t>
      </w:r>
      <w:r>
        <w:rPr>
          <w:rFonts w:ascii="Arial" w:eastAsia="Arial" w:hAnsi="Arial" w:cs="Arial"/>
        </w:rPr>
        <w:lastRenderedPageBreak/>
        <w:t>unsworn declaration (Utah Code § 78B-18a-106). Those statements of fact must be complete, relevant, based on the party’s personal knowledge, and be admissible in evidence. When c</w:t>
      </w:r>
      <w:r>
        <w:rPr>
          <w:rFonts w:ascii="Arial" w:eastAsia="Arial" w:hAnsi="Arial" w:cs="Arial"/>
        </w:rPr>
        <w:t>alled as a witness at trial, the party will be given an oath to testify truthfully and will be asked to affirm their statement of facts. Thereafter, cross-examination will commence immediately. The Court will permit re-direct examination, but only to clari</w:t>
      </w:r>
      <w:r>
        <w:rPr>
          <w:rFonts w:ascii="Arial" w:eastAsia="Arial" w:hAnsi="Arial" w:cs="Arial"/>
        </w:rPr>
        <w:t>fy issues raised by the cross-examination. All statements of fact must be filed by (</w:t>
      </w:r>
      <w:r>
        <w:rPr>
          <w:rFonts w:ascii="Arial" w:eastAsia="Arial" w:hAnsi="Arial" w:cs="Arial"/>
          <w:highlight w:val="yellow"/>
        </w:rPr>
        <w:t>21 days before trial</w:t>
      </w:r>
      <w:r>
        <w:rPr>
          <w:rFonts w:ascii="Arial" w:eastAsia="Arial" w:hAnsi="Arial" w:cs="Arial"/>
        </w:rPr>
        <w:t xml:space="preserve">).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rPr>
        <w:t>Examination of all witnesses who are not parties will be presented through the traditional method of direct examination and cross-examination by cou</w:t>
      </w:r>
      <w:r>
        <w:rPr>
          <w:rFonts w:ascii="Arial" w:eastAsia="Arial" w:hAnsi="Arial" w:cs="Arial"/>
        </w:rPr>
        <w:t xml:space="preserve">nsel. </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rPr>
        <w:t>Deadline Summary</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Discovery Complete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_____________</w:t>
      </w:r>
      <w:r>
        <w:rPr>
          <w:rFonts w:ascii="Arial" w:eastAsia="Arial" w:hAnsi="Arial" w:cs="Arial"/>
          <w:highlight w:val="yellow"/>
        </w:rPr>
        <w:t>, 20</w:t>
      </w:r>
      <w:r>
        <w:rPr>
          <w:rFonts w:ascii="Arial" w:eastAsia="Arial" w:hAnsi="Arial" w:cs="Arial"/>
          <w:highlight w:val="yellow"/>
        </w:rPr>
        <w:t>____</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Expert Notice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_____________, 20____</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Mediation Complete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_____________, 20____</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Rule 26(a)(5) disclosures</w:t>
      </w:r>
      <w:r>
        <w:rPr>
          <w:rFonts w:ascii="Arial" w:eastAsia="Arial" w:hAnsi="Arial" w:cs="Arial"/>
        </w:rPr>
        <w:tab/>
      </w:r>
      <w:r>
        <w:rPr>
          <w:rFonts w:ascii="Arial" w:eastAsia="Arial" w:hAnsi="Arial" w:cs="Arial"/>
        </w:rPr>
        <w:tab/>
      </w:r>
      <w:r>
        <w:rPr>
          <w:rFonts w:ascii="Arial" w:eastAsia="Arial" w:hAnsi="Arial" w:cs="Arial"/>
          <w:highlight w:val="yellow"/>
        </w:rPr>
        <w:t>___________, 20____</w:t>
      </w:r>
      <w:r>
        <w:rPr>
          <w:rFonts w:ascii="Arial" w:eastAsia="Arial" w:hAnsi="Arial" w:cs="Arial"/>
        </w:rPr>
        <w:t>(35 days)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Statements of Fact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___________, 20____</w:t>
      </w:r>
      <w:r>
        <w:rPr>
          <w:rFonts w:ascii="Arial" w:eastAsia="Arial" w:hAnsi="Arial" w:cs="Arial"/>
        </w:rPr>
        <w:t>(21 days)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Pretrial motions and objections</w:t>
      </w:r>
      <w:r>
        <w:rPr>
          <w:rFonts w:ascii="Arial" w:eastAsia="Arial" w:hAnsi="Arial" w:cs="Arial"/>
        </w:rPr>
        <w:tab/>
      </w:r>
      <w:r>
        <w:rPr>
          <w:rFonts w:ascii="Arial" w:eastAsia="Arial" w:hAnsi="Arial" w:cs="Arial"/>
          <w:highlight w:val="yellow"/>
        </w:rPr>
        <w:t>___________, 20____</w:t>
      </w:r>
      <w:r>
        <w:rPr>
          <w:rFonts w:ascii="Arial" w:eastAsia="Arial" w:hAnsi="Arial" w:cs="Arial"/>
        </w:rPr>
        <w:t>(14 days)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 xml:space="preserve"> Updated Financial Statements</w:t>
      </w:r>
      <w:r>
        <w:rPr>
          <w:rFonts w:ascii="Arial" w:eastAsia="Arial" w:hAnsi="Arial" w:cs="Arial"/>
        </w:rPr>
        <w:tab/>
      </w:r>
      <w:r>
        <w:rPr>
          <w:rFonts w:ascii="Arial" w:eastAsia="Arial" w:hAnsi="Arial" w:cs="Arial"/>
          <w:highlight w:val="yellow"/>
        </w:rPr>
        <w:t>___________, 20____</w:t>
      </w:r>
      <w:r>
        <w:rPr>
          <w:rFonts w:ascii="Arial" w:eastAsia="Arial" w:hAnsi="Arial" w:cs="Arial"/>
        </w:rPr>
        <w:t>(14 days)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Trial Briefs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___________, 20____</w:t>
      </w:r>
      <w:r>
        <w:rPr>
          <w:rFonts w:ascii="Arial" w:eastAsia="Arial" w:hAnsi="Arial" w:cs="Arial"/>
        </w:rPr>
        <w:t>(14 days)</w:t>
      </w:r>
    </w:p>
    <w:p w:rsidR="00AE7BAA" w:rsidRDefault="002E0FCB">
      <w:pPr>
        <w:widowControl w:val="0"/>
        <w:numPr>
          <w:ilvl w:val="0"/>
          <w:numId w:val="1"/>
        </w:numPr>
        <w:pBdr>
          <w:top w:val="nil"/>
          <w:left w:val="nil"/>
          <w:bottom w:val="nil"/>
          <w:right w:val="nil"/>
          <w:between w:val="nil"/>
        </w:pBdr>
        <w:spacing w:line="480" w:lineRule="auto"/>
        <w:ind w:left="1800" w:right="180" w:hanging="360"/>
      </w:pPr>
      <w:r>
        <w:rPr>
          <w:rFonts w:ascii="Arial" w:eastAsia="Arial" w:hAnsi="Arial" w:cs="Arial"/>
        </w:rPr>
        <w:t>Trial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highlight w:val="yellow"/>
        </w:rPr>
        <w:t>___________, 20____</w:t>
      </w:r>
    </w:p>
    <w:p w:rsidR="00AE7BAA" w:rsidRDefault="002E0FCB">
      <w:pPr>
        <w:widowControl w:val="0"/>
        <w:numPr>
          <w:ilvl w:val="0"/>
          <w:numId w:val="1"/>
        </w:numPr>
        <w:pBdr>
          <w:top w:val="nil"/>
          <w:left w:val="nil"/>
          <w:bottom w:val="nil"/>
          <w:right w:val="nil"/>
          <w:between w:val="nil"/>
        </w:pBdr>
        <w:spacing w:line="480" w:lineRule="auto"/>
        <w:ind w:left="1440" w:right="180" w:hanging="720"/>
      </w:pPr>
      <w:r>
        <w:rPr>
          <w:rFonts w:ascii="Arial" w:eastAsia="Arial" w:hAnsi="Arial" w:cs="Arial"/>
        </w:rPr>
        <w:t xml:space="preserve">The parties shall appear for a status conference on </w:t>
      </w:r>
      <w:r>
        <w:rPr>
          <w:rFonts w:ascii="Arial" w:eastAsia="Arial" w:hAnsi="Arial" w:cs="Arial"/>
          <w:highlight w:val="yellow"/>
        </w:rPr>
        <w:t>___________</w:t>
      </w:r>
      <w:proofErr w:type="gramStart"/>
      <w:r>
        <w:rPr>
          <w:rFonts w:ascii="Arial" w:eastAsia="Arial" w:hAnsi="Arial" w:cs="Arial"/>
          <w:highlight w:val="yellow"/>
        </w:rPr>
        <w:t>,_</w:t>
      </w:r>
      <w:proofErr w:type="gramEnd"/>
      <w:r>
        <w:rPr>
          <w:rFonts w:ascii="Arial" w:eastAsia="Arial" w:hAnsi="Arial" w:cs="Arial"/>
          <w:highlight w:val="yellow"/>
        </w:rPr>
        <w:t>__ 20</w:t>
      </w:r>
      <w:r>
        <w:rPr>
          <w:rFonts w:ascii="Arial" w:eastAsia="Arial" w:hAnsi="Arial" w:cs="Arial"/>
          <w:highlight w:val="yellow"/>
        </w:rPr>
        <w:t>____,</w:t>
      </w:r>
      <w:r>
        <w:rPr>
          <w:rFonts w:ascii="Arial" w:eastAsia="Arial" w:hAnsi="Arial" w:cs="Arial"/>
          <w:highlight w:val="yellow"/>
        </w:rPr>
        <w:t xml:space="preserve"> at </w:t>
      </w:r>
      <w:r>
        <w:rPr>
          <w:rFonts w:ascii="Arial" w:eastAsia="Arial" w:hAnsi="Arial" w:cs="Arial"/>
          <w:highlight w:val="yellow"/>
        </w:rPr>
        <w:t>__:____ am/</w:t>
      </w:r>
      <w:r>
        <w:rPr>
          <w:rFonts w:ascii="Arial" w:eastAsia="Arial" w:hAnsi="Arial" w:cs="Arial"/>
          <w:highlight w:val="yellow"/>
        </w:rPr>
        <w:t>pm.</w:t>
      </w:r>
    </w:p>
    <w:p w:rsidR="00AE7BAA" w:rsidRDefault="002E0FCB">
      <w:pPr>
        <w:widowControl w:val="0"/>
        <w:numPr>
          <w:ilvl w:val="0"/>
          <w:numId w:val="1"/>
        </w:numPr>
        <w:pBdr>
          <w:top w:val="nil"/>
          <w:left w:val="nil"/>
          <w:bottom w:val="nil"/>
          <w:right w:val="nil"/>
          <w:between w:val="nil"/>
        </w:pBdr>
        <w:spacing w:line="480" w:lineRule="auto"/>
        <w:ind w:right="180" w:firstLine="720"/>
      </w:pPr>
      <w:r>
        <w:rPr>
          <w:rFonts w:ascii="Arial" w:eastAsia="Arial" w:hAnsi="Arial" w:cs="Arial"/>
          <w:color w:val="000000"/>
        </w:rPr>
        <w:t xml:space="preserve">If this matter settles, the parties must immediately advise the Court via </w:t>
      </w:r>
      <w:r>
        <w:rPr>
          <w:rFonts w:ascii="Arial" w:eastAsia="Arial" w:hAnsi="Arial" w:cs="Arial"/>
          <w:color w:val="000000"/>
        </w:rPr>
        <w:lastRenderedPageBreak/>
        <w:t>email to (</w:t>
      </w:r>
      <w:r>
        <w:rPr>
          <w:rFonts w:ascii="Arial" w:eastAsia="Arial" w:hAnsi="Arial" w:cs="Arial"/>
          <w:color w:val="000000"/>
          <w:highlight w:val="yellow"/>
        </w:rPr>
        <w:t>court email</w:t>
      </w:r>
      <w:r>
        <w:rPr>
          <w:rFonts w:ascii="Arial" w:eastAsia="Arial" w:hAnsi="Arial" w:cs="Arial"/>
          <w:color w:val="000000"/>
        </w:rPr>
        <w:t>) and via telephone at (</w:t>
      </w:r>
      <w:r>
        <w:rPr>
          <w:rFonts w:ascii="Arial" w:eastAsia="Arial" w:hAnsi="Arial" w:cs="Arial"/>
          <w:color w:val="000000"/>
          <w:highlight w:val="yellow"/>
        </w:rPr>
        <w:t>court phone</w:t>
      </w:r>
      <w:r>
        <w:rPr>
          <w:rFonts w:ascii="Arial" w:eastAsia="Arial" w:hAnsi="Arial" w:cs="Arial"/>
          <w:color w:val="000000"/>
        </w:rPr>
        <w:t xml:space="preserve">).  </w:t>
      </w:r>
    </w:p>
    <w:p w:rsidR="00AE7BAA" w:rsidRDefault="00AE7BAA">
      <w:pPr>
        <w:widowControl w:val="0"/>
        <w:pBdr>
          <w:top w:val="nil"/>
          <w:left w:val="nil"/>
          <w:bottom w:val="nil"/>
          <w:right w:val="nil"/>
          <w:between w:val="nil"/>
        </w:pBdr>
        <w:spacing w:line="480" w:lineRule="auto"/>
        <w:ind w:left="720" w:right="180"/>
        <w:jc w:val="both"/>
        <w:rPr>
          <w:rFonts w:ascii="Arial" w:eastAsia="Arial" w:hAnsi="Arial" w:cs="Arial"/>
          <w:color w:val="000000"/>
        </w:rPr>
      </w:pPr>
    </w:p>
    <w:p w:rsidR="00AE7BAA" w:rsidRDefault="002E0FCB">
      <w:pPr>
        <w:widowControl w:val="0"/>
        <w:pBdr>
          <w:top w:val="nil"/>
          <w:left w:val="nil"/>
          <w:bottom w:val="nil"/>
          <w:right w:val="nil"/>
          <w:between w:val="nil"/>
        </w:pBdr>
        <w:spacing w:line="480" w:lineRule="auto"/>
        <w:ind w:left="720" w:right="180"/>
        <w:jc w:val="both"/>
        <w:rPr>
          <w:rFonts w:ascii="Arial" w:eastAsia="Arial" w:hAnsi="Arial" w:cs="Arial"/>
        </w:rPr>
      </w:pPr>
      <w:r>
        <w:rPr>
          <w:rFonts w:ascii="Arial" w:eastAsia="Arial" w:hAnsi="Arial" w:cs="Arial"/>
        </w:rPr>
        <w:t xml:space="preserve">DATED this ________ day of </w:t>
      </w:r>
      <w:r>
        <w:rPr>
          <w:rFonts w:ascii="Arial" w:eastAsia="Arial" w:hAnsi="Arial" w:cs="Arial"/>
        </w:rPr>
        <w:t>______________________, 20____</w:t>
      </w:r>
      <w:r>
        <w:rPr>
          <w:rFonts w:ascii="Arial" w:eastAsia="Arial" w:hAnsi="Arial" w:cs="Arial"/>
        </w:rPr>
        <w:t>.</w:t>
      </w:r>
    </w:p>
    <w:p w:rsidR="00AE7BAA" w:rsidRDefault="002E0FCB">
      <w:pPr>
        <w:widowControl w:val="0"/>
        <w:pBdr>
          <w:top w:val="nil"/>
          <w:left w:val="nil"/>
          <w:bottom w:val="nil"/>
          <w:right w:val="nil"/>
          <w:between w:val="nil"/>
        </w:pBdr>
        <w:spacing w:line="480" w:lineRule="auto"/>
        <w:ind w:right="180" w:firstLine="1440"/>
        <w:jc w:val="both"/>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r>
    </w:p>
    <w:p w:rsidR="00AE7BAA" w:rsidRDefault="002E0FCB">
      <w:pPr>
        <w:widowControl w:val="0"/>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By</w:t>
      </w:r>
      <w:proofErr w:type="gramStart"/>
      <w:r>
        <w:rPr>
          <w:rFonts w:ascii="Arial" w:eastAsia="Arial" w:hAnsi="Arial" w:cs="Arial"/>
        </w:rPr>
        <w:t>:_</w:t>
      </w:r>
      <w:proofErr w:type="gramEnd"/>
      <w:r>
        <w:rPr>
          <w:rFonts w:ascii="Arial" w:eastAsia="Arial" w:hAnsi="Arial" w:cs="Arial"/>
        </w:rPr>
        <w:t>__________________________</w:t>
      </w:r>
    </w:p>
    <w:p w:rsidR="00AE7BAA" w:rsidRDefault="002E0FCB">
      <w:pPr>
        <w:widowControl w:val="0"/>
        <w:pBdr>
          <w:top w:val="nil"/>
          <w:left w:val="nil"/>
          <w:bottom w:val="nil"/>
          <w:right w:val="nil"/>
          <w:between w:val="nil"/>
        </w:pBd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Fonts w:ascii="Arial" w:eastAsia="Arial" w:hAnsi="Arial" w:cs="Arial"/>
        </w:rPr>
        <w:t>District Court</w:t>
      </w:r>
      <w:r>
        <w:rPr>
          <w:rFonts w:ascii="Arial" w:eastAsia="Arial" w:hAnsi="Arial" w:cs="Arial"/>
        </w:rPr>
        <w:t xml:space="preserve"> Judge</w:t>
      </w:r>
    </w:p>
    <w:sectPr w:rsidR="00AE7BA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D2FC0"/>
    <w:multiLevelType w:val="multilevel"/>
    <w:tmpl w:val="4BB0F91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AA"/>
    <w:rsid w:val="002E0FCB"/>
    <w:rsid w:val="00AE7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51CBD-B4B7-47EF-BA24-19404517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Words>
  <Characters>4435</Characters>
  <Application>Microsoft Office Word</Application>
  <DocSecurity>0</DocSecurity>
  <Lines>36</Lines>
  <Paragraphs>10</Paragraphs>
  <ScaleCrop>false</ScaleCrop>
  <Company>Utah State Courts</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Order with Deadlines</dc:title>
  <dc:subject>Case Management Order with Deadlines</dc:subject>
  <cp:keywords>Case Management Order with Deadlines</cp:keywords>
  <cp:lastModifiedBy>Jason Ralston</cp:lastModifiedBy>
  <cp:revision>2</cp:revision>
  <dcterms:created xsi:type="dcterms:W3CDTF">2023-06-20T21:13:00Z</dcterms:created>
  <dcterms:modified xsi:type="dcterms:W3CDTF">2023-06-20T21:13:00Z</dcterms:modified>
</cp:coreProperties>
</file>